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1" w:rsidRDefault="00906111" w:rsidP="009061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16" w:type="dxa"/>
        <w:tblInd w:w="-37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71"/>
        <w:gridCol w:w="4040"/>
        <w:gridCol w:w="1489"/>
        <w:gridCol w:w="4110"/>
        <w:gridCol w:w="426"/>
        <w:gridCol w:w="43"/>
      </w:tblGrid>
      <w:tr w:rsidR="00906111" w:rsidRPr="00D92346" w:rsidTr="001C282E">
        <w:trPr>
          <w:gridBefore w:val="1"/>
          <w:gridAfter w:val="2"/>
          <w:wBefore w:w="37" w:type="dxa"/>
          <w:wAfter w:w="469" w:type="dxa"/>
          <w:trHeight w:val="1417"/>
        </w:trPr>
        <w:tc>
          <w:tcPr>
            <w:tcW w:w="4111" w:type="dxa"/>
            <w:gridSpan w:val="2"/>
            <w:tcBorders>
              <w:bottom w:val="nil"/>
            </w:tcBorders>
          </w:tcPr>
          <w:p w:rsidR="00906111" w:rsidRPr="00906111" w:rsidRDefault="00906111" w:rsidP="00906111">
            <w:pPr>
              <w:widowControl w:val="0"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06111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РЕСПУБЛИКА ТАТАРСТАН</w:t>
            </w:r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</w:t>
            </w:r>
          </w:p>
          <w:p w:rsidR="00906111" w:rsidRPr="00906111" w:rsidRDefault="00F23D74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Сухояш</w:t>
            </w:r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кого</w:t>
            </w:r>
            <w:proofErr w:type="spellEnd"/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Азнакаевского</w:t>
            </w:r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района</w:t>
            </w:r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F23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Советская</w:t>
            </w:r>
            <w:r w:rsidR="00F23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32</w:t>
            </w: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Азнак</w:t>
            </w:r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аевский район, </w:t>
            </w:r>
            <w:proofErr w:type="spellStart"/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ольшой</w:t>
            </w:r>
            <w:proofErr w:type="spellEnd"/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Сухояш, 4233</w:t>
            </w:r>
            <w:r w:rsidR="00D92346" w:rsidRP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06111" w:rsidRPr="00906111" w:rsidRDefault="00D92346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(885592)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9-80-38</w:t>
            </w:r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Suho</w:t>
            </w:r>
            <w:proofErr w:type="spellEnd"/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Azn</w:t>
            </w:r>
            <w:proofErr w:type="spellEnd"/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06111" w:rsidRPr="00906111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tbl>
            <w:tblPr>
              <w:tblW w:w="177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906111" w:rsidRPr="00906111" w:rsidTr="001C282E">
              <w:trPr>
                <w:trHeight w:val="1708"/>
              </w:trPr>
              <w:tc>
                <w:tcPr>
                  <w:tcW w:w="1772" w:type="dxa"/>
                </w:tcPr>
                <w:p w:rsidR="00906111" w:rsidRPr="00906111" w:rsidRDefault="00906111" w:rsidP="00906111">
                  <w:pPr>
                    <w:widowControl w:val="0"/>
                    <w:spacing w:after="0" w:line="240" w:lineRule="auto"/>
                    <w:ind w:hanging="354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20725" cy="892810"/>
                        <wp:effectExtent l="0" t="0" r="3175" b="254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89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6111" w:rsidRPr="00906111" w:rsidRDefault="00906111" w:rsidP="00906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06111" w:rsidRPr="00906111" w:rsidRDefault="00906111" w:rsidP="00906111">
            <w:pPr>
              <w:keepNext/>
              <w:spacing w:after="120" w:line="240" w:lineRule="auto"/>
              <w:ind w:right="-142"/>
              <w:jc w:val="center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06111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hsb-DE" w:eastAsia="ru-RU"/>
              </w:rPr>
              <w:t>ТАТАРСТАН РЕСПУБЛИКАСЫ</w:t>
            </w:r>
          </w:p>
          <w:p w:rsidR="00906111" w:rsidRPr="00906111" w:rsidRDefault="00906111" w:rsidP="009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Азнакай </w:t>
            </w:r>
            <w:proofErr w:type="spellStart"/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районы</w:t>
            </w:r>
          </w:p>
          <w:p w:rsidR="00906111" w:rsidRPr="00906111" w:rsidRDefault="00F23D74" w:rsidP="009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Сукаеш</w:t>
            </w:r>
            <w:proofErr w:type="spellEnd"/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авыл җирлеге</w:t>
            </w:r>
          </w:p>
          <w:p w:rsidR="00906111" w:rsidRPr="00906111" w:rsidRDefault="00906111" w:rsidP="009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0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башлыгы</w:t>
            </w:r>
            <w:proofErr w:type="spellEnd"/>
          </w:p>
          <w:p w:rsidR="00906111" w:rsidRPr="00906111" w:rsidRDefault="00906111" w:rsidP="00906111">
            <w:pPr>
              <w:spacing w:after="0" w:line="240" w:lineRule="auto"/>
              <w:ind w:right="-71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906111" w:rsidRPr="00906111" w:rsidRDefault="00906111" w:rsidP="00906111">
            <w:pPr>
              <w:spacing w:after="0" w:line="360" w:lineRule="auto"/>
              <w:ind w:right="-71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ru-RU"/>
              </w:rPr>
            </w:pPr>
          </w:p>
          <w:p w:rsidR="00906111" w:rsidRPr="00D92346" w:rsidRDefault="00D92346" w:rsidP="00906111">
            <w:pPr>
              <w:spacing w:after="0" w:line="240" w:lineRule="auto"/>
              <w:ind w:right="-71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Совет ур., 32</w:t>
            </w:r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нчы   йорт, Азнакай районы,  </w:t>
            </w:r>
            <w:r w:rsidR="00F23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Зур Сукаеш</w:t>
            </w:r>
            <w:r w:rsidR="00906111" w:rsidRPr="0090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авылы, 4233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25</w:t>
            </w:r>
          </w:p>
          <w:p w:rsidR="00906111" w:rsidRPr="00D92346" w:rsidRDefault="00906111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тел./факс (885592)</w:t>
            </w:r>
            <w:r w:rsid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9-80-38</w:t>
            </w:r>
            <w:r w:rsidRP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</w:t>
            </w:r>
          </w:p>
          <w:p w:rsidR="00906111" w:rsidRPr="00D92346" w:rsidRDefault="00D92346" w:rsidP="009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Suho</w:t>
            </w:r>
            <w:proofErr w:type="spellEnd"/>
            <w:r w:rsidR="00906111" w:rsidRPr="00D9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.Azn@tatar.ru</w:t>
            </w:r>
          </w:p>
          <w:p w:rsidR="00906111" w:rsidRPr="00906111" w:rsidRDefault="00906111" w:rsidP="00906111">
            <w:pPr>
              <w:spacing w:after="0" w:line="240" w:lineRule="auto"/>
              <w:ind w:right="-71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tt-RU" w:eastAsia="ru-RU"/>
              </w:rPr>
            </w:pPr>
          </w:p>
        </w:tc>
      </w:tr>
      <w:tr w:rsidR="00906111" w:rsidRPr="00D92346" w:rsidTr="001C282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08" w:type="dxa"/>
          <w:wAfter w:w="43" w:type="dxa"/>
        </w:trPr>
        <w:tc>
          <w:tcPr>
            <w:tcW w:w="5529" w:type="dxa"/>
            <w:gridSpan w:val="2"/>
            <w:tcBorders>
              <w:top w:val="single" w:sz="12" w:space="0" w:color="auto"/>
            </w:tcBorders>
          </w:tcPr>
          <w:p w:rsidR="00906111" w:rsidRPr="00906111" w:rsidRDefault="00906111" w:rsidP="009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tt-RU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906111" w:rsidRPr="00906111" w:rsidRDefault="00906111" w:rsidP="00906111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tt-RU" w:eastAsia="ru-RU"/>
              </w:rPr>
            </w:pPr>
          </w:p>
        </w:tc>
      </w:tr>
      <w:tr w:rsidR="00906111" w:rsidRPr="00D92346" w:rsidTr="001C282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7" w:type="dxa"/>
            <w:gridSpan w:val="4"/>
          </w:tcPr>
          <w:p w:rsidR="00906111" w:rsidRPr="00D92346" w:rsidRDefault="00906111" w:rsidP="0090611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D9234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ПОСТАНОВЛЕНИЕ</w:t>
            </w:r>
          </w:p>
          <w:p w:rsidR="00906111" w:rsidRPr="00D92346" w:rsidRDefault="00906111" w:rsidP="00906111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D9234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от «07» март  2024г.</w:t>
            </w:r>
          </w:p>
        </w:tc>
        <w:tc>
          <w:tcPr>
            <w:tcW w:w="4579" w:type="dxa"/>
            <w:gridSpan w:val="3"/>
          </w:tcPr>
          <w:p w:rsidR="00906111" w:rsidRPr="00D92346" w:rsidRDefault="00906111" w:rsidP="00906111">
            <w:pPr>
              <w:spacing w:after="0" w:line="36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tt-RU" w:eastAsia="ru-RU"/>
              </w:rPr>
            </w:pPr>
            <w:r w:rsidRPr="00D923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tt-RU" w:eastAsia="ru-RU"/>
              </w:rPr>
              <w:t xml:space="preserve"> КАРАР</w:t>
            </w:r>
          </w:p>
          <w:p w:rsidR="00906111" w:rsidRPr="00D92346" w:rsidRDefault="00906111" w:rsidP="00906111">
            <w:pPr>
              <w:spacing w:after="0" w:line="36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923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tt-RU" w:eastAsia="ru-RU"/>
              </w:rPr>
              <w:t>№ 1</w:t>
            </w:r>
          </w:p>
        </w:tc>
      </w:tr>
      <w:tr w:rsidR="00906111" w:rsidRPr="00D92346" w:rsidTr="001C282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5637" w:type="dxa"/>
            <w:gridSpan w:val="4"/>
          </w:tcPr>
          <w:p w:rsidR="00906111" w:rsidRPr="00D92346" w:rsidRDefault="00906111" w:rsidP="009061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579" w:type="dxa"/>
            <w:gridSpan w:val="3"/>
          </w:tcPr>
          <w:p w:rsidR="00906111" w:rsidRPr="00D92346" w:rsidRDefault="00906111" w:rsidP="00906111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906111" w:rsidRPr="00D92346" w:rsidRDefault="00906111" w:rsidP="00906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906111" w:rsidRPr="00D92346" w:rsidRDefault="00906111" w:rsidP="00906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5"/>
      </w:tblGrid>
      <w:tr w:rsidR="00906111" w:rsidRPr="00275F8B" w:rsidTr="001C282E">
        <w:trPr>
          <w:trHeight w:val="330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906111" w:rsidRPr="00D92346" w:rsidRDefault="00906111" w:rsidP="00906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lang w:val="tt-RU" w:eastAsia="ru-RU"/>
              </w:rPr>
            </w:pP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Татарстан Республикасы Азнакай муниципаль районы </w:t>
            </w:r>
            <w:r w:rsidR="00F23D74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Сукаеш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авыл җирлегенең </w:t>
            </w:r>
            <w:r w:rsidR="00F23D74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Зур Сукаеш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торак пунктында гражданнар </w:t>
            </w:r>
            <w:r w:rsidRPr="00906111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җ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ыенының «Татарстан Республикасы Азнакай муниципаль районы </w:t>
            </w:r>
            <w:r w:rsidR="00F23D74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Сукаеш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авыл җирлегенең </w:t>
            </w:r>
            <w:r w:rsidR="00F23D74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Зур Сукаеш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авылында 2024 елда гражданнарның үзара салымын кертү турында» 2023 елның </w:t>
            </w:r>
            <w:r w:rsidR="00D92346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01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ноябрендәге 2 номерлы карарына, «Татарстан Республикасы Азнакай муниципаль районы </w:t>
            </w:r>
            <w:r w:rsidR="00F23D74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Сукаеш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авыл җирлегенең </w:t>
            </w:r>
            <w:r w:rsidR="00F23D74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Зур Сукаеш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авылында гражданнар җыены нәтиҗәләре турында» 2023 елның </w:t>
            </w:r>
            <w:r w:rsidR="00D92346"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01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 ноябрендәге 1 номерлы </w:t>
            </w:r>
            <w:r w:rsidRPr="00906111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карарына </w:t>
            </w:r>
            <w:r w:rsidRPr="00D92346">
              <w:rPr>
                <w:rFonts w:ascii="Times New Roman" w:eastAsia="Times New Roman" w:hAnsi="Times New Roman" w:cs="Times New Roman"/>
                <w:color w:val="002033"/>
                <w:sz w:val="28"/>
                <w:szCs w:val="28"/>
                <w:bdr w:val="none" w:sz="0" w:space="0" w:color="auto" w:frame="1"/>
                <w:lang w:val="tt-RU" w:eastAsia="ru-RU"/>
              </w:rPr>
              <w:t>үзгәрешләр кертү мәсьәләсе буенча гражданнар җыенын билгеләү турында</w:t>
            </w:r>
          </w:p>
          <w:p w:rsidR="00906111" w:rsidRPr="00D92346" w:rsidRDefault="00906111" w:rsidP="009061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06111" w:rsidRPr="00D92346" w:rsidRDefault="00906111" w:rsidP="0090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06111" w:rsidRPr="00D92346" w:rsidRDefault="00906111" w:rsidP="0090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</w:pP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«Россия Федерациясендә җирле үзидарә оештыруның гомуми принциплары турында» 2003 елның 6 октябрендәге 131-ФЗ номерлы Федераль законның 25.1, 56 статьяларына ярашлы, 35 «Татарстан Республикасында җирле үзидарә турында» 28.07.2004 № 45-ТРЗ Татарстан Республикасы Законы, Татарстан Республикасы Министрлар Кабинетының 29.11.2023 № 1532 карары белән «2024 ел</w:t>
      </w:r>
      <w:r w:rsidRPr="00906111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да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Татарстан Республикасы Муниципаль берәмлекләре бюджетларына җирле әһәмияттәге мәсьәләләрне хәл итүгә Татарстан Республикасы бюджетыннан башка бюджетара трансфертлар бирү тәртибе турында»</w:t>
      </w:r>
      <w:r w:rsidRPr="00906111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,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«</w:t>
      </w:r>
      <w:r w:rsidR="00F23D74"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Сукаеш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авыл җирлеге»</w:t>
      </w:r>
      <w:r w:rsidRPr="00906111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муниципаль берәмлеге Уставының 15.1 маддәсе</w:t>
      </w:r>
      <w:r w:rsidRPr="00906111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нигезендә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, Азнакай муниципаль районы </w:t>
      </w:r>
      <w:r w:rsidR="00F23D74"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Сукаеш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авыл җирлеге </w:t>
      </w:r>
      <w:r w:rsidRPr="00906111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Б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ашлыгы</w:t>
      </w:r>
      <w:r w:rsidRPr="00906111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D92346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  <w:lang w:val="tt-RU" w:eastAsia="ru-RU"/>
        </w:rPr>
        <w:t>карар кабул итте:</w:t>
      </w:r>
    </w:p>
    <w:p w:rsidR="00906111" w:rsidRPr="00D92346" w:rsidRDefault="00906111" w:rsidP="0090611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06111" w:rsidRPr="00906111" w:rsidRDefault="00906111" w:rsidP="009061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Азнакай муниципаль районы </w:t>
      </w:r>
      <w:r w:rsidR="00F23D74"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Сукаеш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җирлегенең </w:t>
      </w:r>
      <w:r w:rsidR="00F23D74"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 Сукаеш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торак пунктында «Татарстан Республикасы Азнакай муниципаль районы </w:t>
      </w:r>
      <w:r w:rsidR="00F23D74"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Сукаеш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җирлегенең </w:t>
      </w:r>
      <w:r w:rsidR="00F23D74"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 Сукаеш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авылында 2024 елда гражданнарның 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үзара салым кертү турында» 2023 елның </w:t>
      </w:r>
      <w:r w:rsid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01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ноябрендәге 2 номерлы гражданнар җыены карарына, «Татарстан Республ</w:t>
      </w:r>
      <w:r w:rsid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икасы Азнакай муниципаль районы</w:t>
      </w:r>
      <w:r w:rsidR="00F23D74"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Сукаеш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җирлегенең </w:t>
      </w:r>
      <w:r w:rsidR="00F23D74"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 Сукаеш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авылында гражданнар җыены нәтиҗәләре турында» 2023 елның </w:t>
      </w:r>
      <w:r w:rsid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01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ноябрендәге 1 номерлы</w:t>
      </w: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карарына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үзгәрешләр кертү мәсьәләсе буенча 2024 елның 1</w:t>
      </w: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мартындагы </w:t>
      </w:r>
      <w:r w:rsid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09</w:t>
      </w:r>
      <w:r w:rsidRP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сәгать 00 минутка гражданнар җыенын билгеләргә.</w:t>
      </w:r>
    </w:p>
    <w:p w:rsidR="00906111" w:rsidRPr="00906111" w:rsidRDefault="00906111" w:rsidP="0090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җыенына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чыгарыла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мәсьәләне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расларга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111" w:rsidRPr="00906111" w:rsidRDefault="00906111" w:rsidP="0090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җыены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карарларына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</w:t>
      </w:r>
      <w:proofErr w:type="gram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кертүгә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ризамы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111" w:rsidRPr="00906111" w:rsidRDefault="00906111" w:rsidP="0090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"Татарстан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Азнакай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r w:rsidR="00F2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Сукаеш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җирлегенең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D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="00F2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Сукаеш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авылында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гражданнарның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үзара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салымын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2023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34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ноябрендәге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карары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</w:t>
      </w: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пунктлар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</w:t>
      </w: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</w:t>
      </w:r>
      <w:proofErr w:type="gram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әндәге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редакциядә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бәян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6111" w:rsidRPr="00D92346" w:rsidRDefault="00906111" w:rsidP="00906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0611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«1. 2024 елда Татарстан Республикасы Азнакай муниципаль районы </w:t>
      </w:r>
      <w:r w:rsidR="00F23D74">
        <w:rPr>
          <w:rFonts w:ascii="Times New Roman" w:eastAsia="Calibri" w:hAnsi="Times New Roman" w:cs="Times New Roman"/>
          <w:sz w:val="28"/>
          <w:szCs w:val="28"/>
          <w:lang w:val="tt-RU"/>
        </w:rPr>
        <w:t>Сукаеш</w:t>
      </w:r>
      <w:r w:rsidRPr="0090611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авыл җирлегенең </w:t>
      </w:r>
      <w:r w:rsidR="00F23D74">
        <w:rPr>
          <w:rFonts w:ascii="Times New Roman" w:eastAsia="Calibri" w:hAnsi="Times New Roman" w:cs="Times New Roman"/>
          <w:sz w:val="28"/>
          <w:szCs w:val="28"/>
          <w:lang w:val="tt-RU"/>
        </w:rPr>
        <w:t>Зур Сукаеш</w:t>
      </w:r>
      <w:r w:rsidRPr="0090611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авылында яшәү урыны буенча теркә</w:t>
      </w:r>
      <w:r w:rsidR="00D9234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лгән һәр балигъ булган </w:t>
      </w:r>
      <w:r w:rsidR="00D92346" w:rsidRPr="00D9234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кешедән </w:t>
      </w:r>
      <w:r w:rsidRPr="00D92346"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="00D92346" w:rsidRPr="00D9234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00 сум күләмендә </w:t>
      </w:r>
      <w:r w:rsidR="00D92346" w:rsidRPr="00D92346">
        <w:rPr>
          <w:rFonts w:ascii="Times New Roman" w:hAnsi="Times New Roman" w:cs="Times New Roman"/>
          <w:sz w:val="28"/>
          <w:szCs w:val="28"/>
          <w:lang w:val="tt-RU"/>
        </w:rPr>
        <w:t xml:space="preserve">һэм 2 Төркем инвалидларыннан, 80 яшьтэн өлкәннәрдэн </w:t>
      </w:r>
      <w:r w:rsidRPr="00D92346">
        <w:rPr>
          <w:rFonts w:ascii="Times New Roman" w:eastAsia="Calibri" w:hAnsi="Times New Roman" w:cs="Times New Roman"/>
          <w:sz w:val="28"/>
          <w:szCs w:val="28"/>
          <w:lang w:val="tt-RU"/>
        </w:rPr>
        <w:t>бер тапкыр түләүне киметеп, 200 сум күләмендә үзара салым кертергә.</w:t>
      </w:r>
    </w:p>
    <w:p w:rsidR="002765F2" w:rsidRDefault="00906111" w:rsidP="002765F2">
      <w:pPr>
        <w:spacing w:after="16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D9234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2. Алынган акчаларны түбәндәге эшләрне</w:t>
      </w:r>
      <w:r w:rsidRPr="00906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башкару буенча җирле әһәмияттәге мәсьәләләрне хәл итүгә юнәлтергә:</w:t>
      </w:r>
    </w:p>
    <w:p w:rsidR="00D24AA7" w:rsidRPr="00D24AA7" w:rsidRDefault="00867E4A" w:rsidP="002765F2">
      <w:pPr>
        <w:spacing w:after="16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867E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-тышкы яктырту челтәрләрен, трансформатор һәм башка подстанцияләрне һәм алар астындагы мәйданчыкларны, бүлү пунктларын һәм электр элемтәләрен тәэмин итү һәм электр энергиясен тапшыруны гамәлгә ашыру өчен билгеләнгән башка җиһазларны ремонтлау (</w:t>
      </w:r>
      <w:r w:rsidR="00D24AA7" w:rsidRPr="00D24AA7">
        <w:rPr>
          <w:rFonts w:ascii="Times New Roman" w:hAnsi="Times New Roman" w:cs="Times New Roman"/>
          <w:sz w:val="28"/>
          <w:szCs w:val="28"/>
          <w:lang w:val="tt-RU"/>
        </w:rPr>
        <w:t xml:space="preserve">Зур Сукаеш авыл җирлегендә урамнарны яктырту өчен лампаларны, яктырткычларны, электр җиһазларын һәм махсус җайланмаларны сатып алу һәм алыштыру, урам утларын ремонтлау һәм аларга хезмәт күрсәтү буенча хезмәт күрсәтү); </w:t>
      </w:r>
    </w:p>
    <w:p w:rsidR="00867E4A" w:rsidRPr="00990AD5" w:rsidRDefault="002765F2" w:rsidP="00D24AA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</w:t>
      </w:r>
      <w:r w:rsidR="00867E4A" w:rsidRPr="00867E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="00990AD5" w:rsidRPr="000A5F42">
        <w:rPr>
          <w:rFonts w:ascii="Times New Roman" w:hAnsi="Times New Roman" w:cs="Times New Roman"/>
          <w:sz w:val="28"/>
          <w:szCs w:val="28"/>
          <w:lang w:val="tt-RU"/>
        </w:rPr>
        <w:t xml:space="preserve"> торак пункт чикләрендә җирле әһәмияттәге гомуми файдаланудагы автомобиль юлларын төзү, ремонтлау, тоту </w:t>
      </w:r>
      <w:r w:rsidR="00D24AA7" w:rsidRPr="000A5F42">
        <w:rPr>
          <w:rFonts w:ascii="Times New Roman" w:hAnsi="Times New Roman" w:cs="Times New Roman"/>
          <w:sz w:val="28"/>
          <w:szCs w:val="28"/>
          <w:lang w:val="tt-RU"/>
        </w:rPr>
        <w:t xml:space="preserve">торак пункт чикләрендә җирле </w:t>
      </w:r>
      <w:r w:rsidR="00D24AA7" w:rsidRPr="00990AD5">
        <w:rPr>
          <w:rFonts w:ascii="Times New Roman" w:hAnsi="Times New Roman" w:cs="Times New Roman"/>
          <w:sz w:val="28"/>
          <w:szCs w:val="28"/>
          <w:lang w:val="tt-RU"/>
        </w:rPr>
        <w:t>әһәмияттәге гомуми файдаланудагы автомобиль юлларын төзү, ремонтлау, тоту</w:t>
      </w:r>
      <w:r w:rsidR="00990AD5" w:rsidRPr="00990AD5">
        <w:rPr>
          <w:rFonts w:ascii="Times New Roman" w:hAnsi="Times New Roman" w:cs="Times New Roman"/>
          <w:sz w:val="28"/>
          <w:szCs w:val="28"/>
          <w:lang w:val="tt-RU"/>
        </w:rPr>
        <w:t xml:space="preserve"> (Тракторчыга карны механикалаштырылган җыю хезмәте өчен түләү (юлларны кардан чистарту буенча чит оешмалар хезмәтләре);</w:t>
      </w:r>
    </w:p>
    <w:p w:rsidR="00990AD5" w:rsidRPr="00990AD5" w:rsidRDefault="00990AD5" w:rsidP="00D24AA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</w:t>
      </w:r>
      <w:r w:rsidR="002765F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- </w:t>
      </w:r>
      <w:r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>Җир асты суларының (чишмәләр)  табигый чыгу урыннарын төзекләндерү ,( “Алты Улак” чишмәсе янына беседка ясау һәм урнаштыру , “Алты улак” чишмәсе  өстенэ навес ясау.</w:t>
      </w:r>
    </w:p>
    <w:p w:rsidR="00906111" w:rsidRPr="00906111" w:rsidRDefault="00906111" w:rsidP="0090611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highlight w:val="yellow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б) «Татарстан Республикасы Азнакай муниципаль районы </w:t>
      </w:r>
      <w:r w:rsidR="00F23D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Сукаеш</w:t>
      </w: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җирлегенең </w:t>
      </w:r>
      <w:r w:rsidR="00F23D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 Сукаеш</w:t>
      </w: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авылында гражданнар җыены н</w:t>
      </w:r>
      <w:r w:rsidR="00990A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әтиҗәләре турында» 2023 елның </w:t>
      </w: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ноябрендәге 1 номерлы карары:</w:t>
      </w:r>
    </w:p>
    <w:p w:rsidR="00906111" w:rsidRPr="00990AD5" w:rsidRDefault="00906111" w:rsidP="009061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90A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«түбәндәге эшләрне башкару буенча» сүзенең преамбуласында:</w:t>
      </w:r>
    </w:p>
    <w:p w:rsidR="00990AD5" w:rsidRPr="00990AD5" w:rsidRDefault="00675A22" w:rsidP="00990AD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0A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990AD5" w:rsidRPr="00990AD5">
        <w:rPr>
          <w:rFonts w:ascii="Times New Roman" w:hAnsi="Times New Roman" w:cs="Times New Roman"/>
          <w:sz w:val="28"/>
          <w:szCs w:val="28"/>
          <w:lang w:val="tt-RU"/>
        </w:rPr>
        <w:t xml:space="preserve">Зур Сукаеш авыл җирлегендә урамнарны яктырту өчен лампаларны, яктырткычларны, электр җиһазларын һәм махсус җайланмаларны сатып алу һәм алыштыру, урам утларын ремонтлау һәм аларга хезмәт күрсәтү буенча хезмәт күрсәтү; </w:t>
      </w:r>
    </w:p>
    <w:p w:rsidR="00990AD5" w:rsidRPr="00990AD5" w:rsidRDefault="00990AD5" w:rsidP="00990AD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0AD5">
        <w:rPr>
          <w:rFonts w:ascii="Times New Roman" w:hAnsi="Times New Roman" w:cs="Times New Roman"/>
          <w:sz w:val="28"/>
          <w:szCs w:val="28"/>
          <w:lang w:val="tt-RU"/>
        </w:rPr>
        <w:t xml:space="preserve">    - Тракторчыга карны механикалаштырылган җыю хезмәте өчен түләү (юлларны кардан чистарту буенча чит оешмалар хезмәтләре);</w:t>
      </w:r>
    </w:p>
    <w:p w:rsidR="00990AD5" w:rsidRPr="00990AD5" w:rsidRDefault="002765F2" w:rsidP="00990AD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-</w:t>
      </w:r>
      <w:r w:rsidR="00990AD5"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>Җир асты суларының (чишмәләр)  табигый чыгу урыннарын төзекләндерү ,( “Алты Улак” чишмәсе янына беседка ясау һәм урнаштыру , “Алты улак” чишмәсе  өстенэ навес ясау.</w:t>
      </w:r>
    </w:p>
    <w:p w:rsidR="00906111" w:rsidRPr="00906111" w:rsidRDefault="00906111" w:rsidP="00990A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«түбәндәге эшләрне башкару буенча» сүзләре белән алмаштырырга: </w:t>
      </w:r>
    </w:p>
    <w:p w:rsidR="002765F2" w:rsidRPr="00D24AA7" w:rsidRDefault="002765F2" w:rsidP="002765F2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06111" w:rsidRPr="0090611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67E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-тышкы яктырту челтәрләрен, трансформатор һәм башка подстанцияләрне һәм алар астындагы мәйданчыкларны, бүлү пунктларын һәм электр элемтәләрен тәэмин итү һәм электр энергиясен тапшыруны гамәлгә ашыру өчен билгеләнгән башка җиһазларны ремонтлау 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Зур </w:t>
      </w:r>
      <w:r w:rsidRPr="00D24AA7">
        <w:rPr>
          <w:rFonts w:ascii="Times New Roman" w:hAnsi="Times New Roman" w:cs="Times New Roman"/>
          <w:sz w:val="28"/>
          <w:szCs w:val="28"/>
          <w:lang w:val="tt-RU"/>
        </w:rPr>
        <w:t xml:space="preserve">Сукаеш авыл җирлегендә урамнарны яктырту өчен лампаларны, яктырткычларны, электр җиһазларын һәм махсус җайланмаларны сатып алу һәм алыштыру, урам утларын ремонтлау һәм аларга хезмәт күрсәтү буенча хезмәт күрсәтү); </w:t>
      </w:r>
    </w:p>
    <w:p w:rsidR="002765F2" w:rsidRPr="00990AD5" w:rsidRDefault="002765F2" w:rsidP="002765F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</w:t>
      </w:r>
      <w:r w:rsidRPr="00867E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Pr="000A5F42">
        <w:rPr>
          <w:rFonts w:ascii="Times New Roman" w:hAnsi="Times New Roman" w:cs="Times New Roman"/>
          <w:sz w:val="28"/>
          <w:szCs w:val="28"/>
          <w:lang w:val="tt-RU"/>
        </w:rPr>
        <w:t xml:space="preserve"> торак пункт чикләрендә җирле әһәмияттәге гомуми файдаланудагы автомобиль юлларын төзү, ремонтлау, тоту торак пункт чикләрендә җирле </w:t>
      </w:r>
      <w:r w:rsidRPr="00990AD5">
        <w:rPr>
          <w:rFonts w:ascii="Times New Roman" w:hAnsi="Times New Roman" w:cs="Times New Roman"/>
          <w:sz w:val="28"/>
          <w:szCs w:val="28"/>
          <w:lang w:val="tt-RU"/>
        </w:rPr>
        <w:t>әһәмияттәге гомуми файдаланудагы автомобиль юлларын төзү, ремонтлау, тоту (Тракторчыга карны механикалаштырылган җыю хезмәте өчен түләү (юлларны кардан чистарту буенча чит оешмалар хезмәтләре);</w:t>
      </w:r>
    </w:p>
    <w:p w:rsidR="00906111" w:rsidRPr="00906111" w:rsidRDefault="002765F2" w:rsidP="002765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- </w:t>
      </w:r>
      <w:r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>Җир асты суларының (чишмәләр)  табигый чыгу урыннарын төзекләндерү ,( “Алты Улак” чишмәсе янына беседка ясау һәм урнаштыру , “Алты улак” чишмәсе  өстенэ навес ясау</w:t>
      </w:r>
      <w:r w:rsidR="00906111"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906111" w:rsidRPr="00906111" w:rsidRDefault="00906111" w:rsidP="0090611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-2 нче пунктны түбәндәге редакциядә бәян итәргә:</w:t>
      </w:r>
    </w:p>
    <w:p w:rsidR="00906111" w:rsidRPr="00906111" w:rsidRDefault="00906111" w:rsidP="00906111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906111" w:rsidRPr="00906111" w:rsidRDefault="00906111" w:rsidP="0090611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«2. Мәсьәлә буенча карарны тану </w:t>
      </w:r>
      <w:r w:rsidRPr="00906111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906111">
        <w:rPr>
          <w:rFonts w:ascii="Times New Roman" w:hAnsi="Times New Roman"/>
          <w:sz w:val="28"/>
          <w:szCs w:val="28"/>
          <w:lang w:val="tt-RU"/>
        </w:rPr>
        <w:t xml:space="preserve">2024 елда Татарстан Республикасы Азнакай муниципаль районы </w:t>
      </w:r>
      <w:r w:rsidR="00F23D74">
        <w:rPr>
          <w:rFonts w:ascii="Times New Roman" w:hAnsi="Times New Roman"/>
          <w:sz w:val="28"/>
          <w:szCs w:val="28"/>
          <w:lang w:val="tt-RU"/>
        </w:rPr>
        <w:t>Сукаеш</w:t>
      </w:r>
      <w:r w:rsidRPr="00906111">
        <w:rPr>
          <w:rFonts w:ascii="Times New Roman" w:hAnsi="Times New Roman"/>
          <w:sz w:val="28"/>
          <w:szCs w:val="28"/>
          <w:lang w:val="tt-RU"/>
        </w:rPr>
        <w:t xml:space="preserve"> авыл җирлегенең </w:t>
      </w:r>
      <w:r w:rsidR="00F23D74">
        <w:rPr>
          <w:rFonts w:ascii="Times New Roman" w:hAnsi="Times New Roman"/>
          <w:sz w:val="28"/>
          <w:szCs w:val="28"/>
          <w:lang w:val="tt-RU"/>
        </w:rPr>
        <w:t>Зур Сукаеш</w:t>
      </w:r>
      <w:r w:rsidRPr="00906111">
        <w:rPr>
          <w:rFonts w:ascii="Times New Roman" w:hAnsi="Times New Roman"/>
          <w:sz w:val="28"/>
          <w:szCs w:val="28"/>
          <w:lang w:val="tt-RU"/>
        </w:rPr>
        <w:t xml:space="preserve"> авылында яшәү урыны буенча теркәлгән һәр балигъ булган кешедән</w:t>
      </w:r>
      <w:r w:rsidR="00DB6B2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765F2">
        <w:rPr>
          <w:rFonts w:ascii="Times New Roman" w:hAnsi="Times New Roman"/>
          <w:sz w:val="28"/>
          <w:szCs w:val="28"/>
          <w:lang w:val="tt-RU"/>
        </w:rPr>
        <w:t>4</w:t>
      </w:r>
      <w:r w:rsidRPr="00906111">
        <w:rPr>
          <w:rFonts w:ascii="Times New Roman" w:hAnsi="Times New Roman"/>
          <w:sz w:val="28"/>
          <w:szCs w:val="28"/>
          <w:lang w:val="tt-RU"/>
        </w:rPr>
        <w:t>00 сум күләмендә</w:t>
      </w:r>
      <w:r w:rsidR="002765F2" w:rsidRPr="002765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5F2" w:rsidRPr="00D92346">
        <w:rPr>
          <w:rFonts w:ascii="Times New Roman" w:hAnsi="Times New Roman" w:cs="Times New Roman"/>
          <w:sz w:val="28"/>
          <w:szCs w:val="28"/>
          <w:lang w:val="tt-RU"/>
        </w:rPr>
        <w:t xml:space="preserve">һэм 2 Төркем инвалидларыннан, 80 яшьтэн өлкәннәрдэн </w:t>
      </w:r>
      <w:r w:rsidR="002765F2" w:rsidRPr="00D92346">
        <w:rPr>
          <w:rFonts w:ascii="Times New Roman" w:eastAsia="Calibri" w:hAnsi="Times New Roman" w:cs="Times New Roman"/>
          <w:sz w:val="28"/>
          <w:szCs w:val="28"/>
          <w:lang w:val="tt-RU"/>
        </w:rPr>
        <w:t>бер тапкыр түләүне киметеп, 200 сум күләмендә үзара салым кертергә</w:t>
      </w:r>
      <w:r w:rsidRPr="00906111">
        <w:rPr>
          <w:rFonts w:ascii="Times New Roman" w:hAnsi="Times New Roman"/>
          <w:sz w:val="28"/>
          <w:szCs w:val="28"/>
          <w:lang w:val="tt-RU"/>
        </w:rPr>
        <w:t xml:space="preserve"> һәм алынган акчаларны түбәндәге эшләрне башкару буенча җирле әһәмияттәге мәсьәләләрне хәл итүгә юнәлтү</w:t>
      </w:r>
      <w:r w:rsidRPr="00906111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2765F2" w:rsidRPr="00D24AA7" w:rsidRDefault="001E1C60" w:rsidP="002765F2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E1C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2765F2" w:rsidRPr="00867E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-тышкы яктырту челтәрләрен, трансформатор һәм башка подстанцияләрне һәм алар астындагы мәйданчыкларны, бүлү пунктларын һәм электр элемтәләрен тәэмин итү һәм электр энергиясен тапшыруны гамәлгә ашыру өчен билгеләнгән башка җиһазларны ремонтлау (</w:t>
      </w:r>
      <w:r w:rsidR="002765F2" w:rsidRPr="00D24AA7">
        <w:rPr>
          <w:rFonts w:ascii="Times New Roman" w:hAnsi="Times New Roman" w:cs="Times New Roman"/>
          <w:sz w:val="28"/>
          <w:szCs w:val="28"/>
          <w:lang w:val="tt-RU"/>
        </w:rPr>
        <w:t xml:space="preserve">Зур Сукаеш авыл җирлегендә урамнарны яктырту өчен лампаларны, яктырткычларны, электр җиһазларын һәм махсус җайланмаларны сатып алу һәм алыштыру, урам утларын ремонтлау һәм аларга хезмәт күрсәтү буенча хезмәт күрсәтү); </w:t>
      </w:r>
    </w:p>
    <w:p w:rsidR="002765F2" w:rsidRPr="00990AD5" w:rsidRDefault="002765F2" w:rsidP="002765F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</w:t>
      </w:r>
      <w:r w:rsidRPr="00867E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Pr="000A5F42">
        <w:rPr>
          <w:rFonts w:ascii="Times New Roman" w:hAnsi="Times New Roman" w:cs="Times New Roman"/>
          <w:sz w:val="28"/>
          <w:szCs w:val="28"/>
          <w:lang w:val="tt-RU"/>
        </w:rPr>
        <w:t xml:space="preserve"> торак пункт чикләрендә җирле әһәмияттәге гомуми файдаланудагы автомобиль юлларын төзү, ремонтлау, тоту торак пункт чикләрендә җирле </w:t>
      </w:r>
      <w:r w:rsidRPr="00990AD5">
        <w:rPr>
          <w:rFonts w:ascii="Times New Roman" w:hAnsi="Times New Roman" w:cs="Times New Roman"/>
          <w:sz w:val="28"/>
          <w:szCs w:val="28"/>
          <w:lang w:val="tt-RU"/>
        </w:rPr>
        <w:t>әһәмияттәге гомуми файдаланудагы автомобиль юлларын төзү, ремонтлау, тоту (Тракторчыга карны механикалаштырылган җыю хезмәте өчен түләү (юлларны кардан чистарту буенча чит оешмалар хезмәтләре);</w:t>
      </w:r>
    </w:p>
    <w:p w:rsidR="00906111" w:rsidRPr="00906111" w:rsidRDefault="002765F2" w:rsidP="002765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- </w:t>
      </w:r>
      <w:r w:rsidRPr="00990AD5">
        <w:rPr>
          <w:rFonts w:ascii="Times New Roman" w:hAnsi="Times New Roman" w:cs="Times New Roman"/>
          <w:color w:val="000000"/>
          <w:sz w:val="28"/>
          <w:szCs w:val="28"/>
          <w:lang w:val="tt-RU"/>
        </w:rPr>
        <w:t>Җир асты суларының (чишмәләр)  табигый чыгу урыннарын төзекләндерү ,( “Алты Улак” чишмәсе янына беседка ясау һәм урнаштыру , “Алты улак” чишмәсе  өстенэ навес ясау</w:t>
      </w:r>
      <w:r w:rsidR="00906111" w:rsidRPr="00906111">
        <w:rPr>
          <w:rFonts w:ascii="Times New Roman" w:hAnsi="Times New Roman" w:cs="Times New Roman"/>
          <w:sz w:val="28"/>
          <w:szCs w:val="28"/>
          <w:lang w:val="tt-RU"/>
        </w:rPr>
        <w:t>)».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111" w:rsidRPr="00906111">
        <w:rPr>
          <w:rFonts w:ascii="Times New Roman" w:hAnsi="Times New Roman" w:cs="Times New Roman"/>
          <w:sz w:val="28"/>
          <w:szCs w:val="28"/>
          <w:lang w:val="tt-RU"/>
        </w:rPr>
        <w:t>кабул ителгән.</w:t>
      </w:r>
    </w:p>
    <w:p w:rsidR="00906111" w:rsidRPr="00906111" w:rsidRDefault="00906111" w:rsidP="00906111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« ӘЙЕ»                                                      «КАРШЫ».</w:t>
      </w:r>
    </w:p>
    <w:p w:rsidR="00906111" w:rsidRPr="00906111" w:rsidRDefault="00906111" w:rsidP="0090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Әлеге карарны Азнакай муниципаль районының мәгълүмат стендларында һәм </w:t>
      </w:r>
      <w:hyperlink r:id="rId6" w:history="1">
        <w:r w:rsidRPr="009061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tt-RU" w:eastAsia="ru-RU"/>
          </w:rPr>
          <w:t>http://aznakayevo.tatarstan.ru</w:t>
        </w:r>
      </w:hyperlink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адресы буенча рәсми сайтында, хокукый мәгълүматның рәсми сайтында httр://pravo.tatarstan.ru адресы буенча урнаштыру юлы белән игълан итәргә.</w:t>
      </w:r>
    </w:p>
    <w:p w:rsidR="00906111" w:rsidRPr="00906111" w:rsidRDefault="00906111" w:rsidP="0090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Әлеге карар басылып чыккан көннән үз көченә керә.</w:t>
      </w:r>
    </w:p>
    <w:p w:rsidR="00906111" w:rsidRPr="00906111" w:rsidRDefault="00906111" w:rsidP="0090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06111" w:rsidRPr="00906111" w:rsidRDefault="00906111" w:rsidP="0090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1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Башлык</w:t>
      </w: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7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75A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З.</w:t>
      </w:r>
      <w:r w:rsidR="00D923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З.Закирова</w:t>
      </w:r>
      <w:r w:rsidRPr="0090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4D56" w:rsidRDefault="00354D56"/>
    <w:sectPr w:rsidR="00354D56" w:rsidSect="00B1677F">
      <w:pgSz w:w="11906" w:h="16838"/>
      <w:pgMar w:top="851" w:right="850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1"/>
    <w:rsid w:val="001E1C60"/>
    <w:rsid w:val="00260188"/>
    <w:rsid w:val="00275F8B"/>
    <w:rsid w:val="002765F2"/>
    <w:rsid w:val="00354D56"/>
    <w:rsid w:val="00675A22"/>
    <w:rsid w:val="00867E4A"/>
    <w:rsid w:val="00906111"/>
    <w:rsid w:val="00990AD5"/>
    <w:rsid w:val="00B1299A"/>
    <w:rsid w:val="00D24AA7"/>
    <w:rsid w:val="00D92346"/>
    <w:rsid w:val="00DB6B21"/>
    <w:rsid w:val="00F23D74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nakayevo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2024-03-25T10:53:00Z</cp:lastPrinted>
  <dcterms:created xsi:type="dcterms:W3CDTF">2024-03-25T08:14:00Z</dcterms:created>
  <dcterms:modified xsi:type="dcterms:W3CDTF">2024-03-25T11:34:00Z</dcterms:modified>
</cp:coreProperties>
</file>